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i w:val="0"/>
          <w:color w:val="052B5F"/>
          <w:sz w:val="32"/>
        </w:rPr>
        <w:t>REGOLAMENTO DI MEDIAZIONE - SINTESI OPERATIVA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4F6F7"/>
            <w:tcBorders>
              <w:top w:val="single" w:sz="8" w:color="C8A23A" w:space="0"/>
              <w:left w:val="single" w:sz="8" w:color="C8A23A" w:space="0"/>
              <w:bottom w:val="single" w:sz="8" w:color="C8A23A" w:space="0"/>
              <w:right w:val="single" w:sz="8" w:color="C8A23A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Documento di sintesi brandizzato da usare come allegato informativo rapido. Non sostituisce il regolamento integrale pubblicato dall’Organismo.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DEPOSITO DELLA DOMANDA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La procedura si attiva con il deposito della domanda, dei documenti necessari e della ricevuta di pagamento delle spese dovute.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La Segreteria verifica completezza formale, dati delle parti, recapiti, valore della lite e allegati.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CONVOCAZIONE E COMUNICAZIONI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Le comunicazioni sono inviate ai recapiti indicati dalle parti, preferibilmente via PEC quando disponibile.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La parte istante deve fornire dati corretti e completi della parte chiamata.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PRIMO INCONTRO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Al primo incontro il mediatore chiarisce funzione e modalità della mediazione e verifica con le parti la possibilità di procedere.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Il primo incontro effettivo ha durata massima di due ore secondo il quadro regolamentare applicabile.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PARTECIPAZIONE E ASSISTENZA LEGALE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Le parti partecipano personalmente o tramite soggetto munito dei poteri necessari.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Quando previsto, le parti sono assistite dal proprio avvocato.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RISERVATEZZA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Il procedimento è improntato alla riservatezza. Eventuali documenti riservati al solo mediatore devono essere indicati espressamente.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VERBALE, ACCORDO E CHIUSURA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All’esito dell’incontro o della procedura viene redatto verbale.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In caso di accordo, si applicano le regole relative a spese, firme, eventuali benefici fiscali e rilascio copie.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PRESA VISIONE - COMPILABILE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Procedura n.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Parte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E-mail / PEC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</w:tbl>
    <w:p/>
    <w:p>
      <w:pPr>
        <w:spacing w:after="60"/>
      </w:pPr>
      <w:r>
        <w:rPr>
          <w:b w:val="0"/>
          <w:i w:val="0"/>
          <w:color w:val="17212B"/>
          <w:sz w:val="16"/>
        </w:rPr>
        <w:t xml:space="preserve">☐ Dichiaro di aver preso visione del regolamento pubblicato da ADR Europa   </w:t>
      </w:r>
      <w:r>
        <w:rPr>
          <w:b w:val="0"/>
          <w:i w:val="0"/>
          <w:color w:val="17212B"/>
          <w:sz w:val="16"/>
        </w:rPr>
        <w:t xml:space="preserve">☐ Dichiaro di accettarne il contenuto ai fini della procedura  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Luogo e data</w:t>
              <w:br/>
              <w:br/>
              <w:t>_____________________________</w:t>
            </w:r>
          </w:p>
        </w:tc>
        <w:tc>
          <w:tcPr>
            <w:tcW w:type="dxa" w:w="5326"/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Firma della parte</w:t>
              <w:br/>
              <w:br/>
              <w:t>_____________________________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20" w:right="794" w:bottom="90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55555"/>
        <w:sz w:val="13"/>
      </w:rPr>
      <w:t>www.adreuropa.it | P.IVA/C.F. 14553571002 | Via Terenzio, 21, scala B, int. 2 - 00193 Roma | Tel. 0645542099 | segreteria@adreuropa.it | PEC adr@pec.adreuropa.it | Organismo di Mediazione iscritto al n. 1071 - Ministero della Giustizia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102"/>
      <w:gridCol w:w="5102"/>
    </w:tblGrid>
    <w:tr>
      <w:tc>
        <w:tcPr>
          <w:tcW w:type="dxa" w:w="3855"/>
        </w:tcPr>
        <w:p>
          <w:r>
            <w:drawing>
              <wp:inline xmlns:a="http://schemas.openxmlformats.org/drawingml/2006/main" xmlns:pic="http://schemas.openxmlformats.org/drawingml/2006/picture">
                <wp:extent cx="1944000" cy="87353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DR_Europa_logo_2026_pulit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4000" cy="87353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350"/>
        </w:tcPr>
        <w:p>
          <w:pPr>
            <w:jc w:val="right"/>
          </w:pPr>
          <w:r>
            <w:rPr>
              <w:b/>
              <w:i w:val="0"/>
              <w:color w:val="052B5F"/>
              <w:sz w:val="24"/>
            </w:rPr>
            <w:t>REGOLAMENTO MEDIAZIONE</w:t>
          </w:r>
        </w:p>
        <w:p>
          <w:pPr>
            <w:jc w:val="right"/>
          </w:pPr>
          <w:r>
            <w:rPr>
              <w:b w:val="0"/>
              <w:i w:val="0"/>
              <w:color w:val="61707C"/>
              <w:sz w:val="15"/>
            </w:rPr>
            <w:t>Sintesi operativa brandizzata - versione 2026</w:t>
          </w:r>
        </w:p>
      </w:tc>
    </w:tr>
  </w:tbl>
  <w:p>
    <w:pPr>
      <w:jc w:val="center"/>
    </w:pPr>
    <w:r>
      <w:rPr>
        <w:b w:val="0"/>
        <w:i w:val="0"/>
        <w:color w:val="C8A23A"/>
        <w:sz w:val="12"/>
      </w:rPr>
      <w:t>──────────────────────────────────────────────────────────────────────────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